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C5E" w:rsidRDefault="00972558"/>
    <w:p w:rsidR="00972558" w:rsidRDefault="00972558" w:rsidP="00972558">
      <w:pPr>
        <w:jc w:val="center"/>
        <w:rPr>
          <w:sz w:val="50"/>
          <w:szCs w:val="50"/>
        </w:rPr>
      </w:pPr>
      <w:r w:rsidRPr="00972558">
        <w:rPr>
          <w:sz w:val="50"/>
          <w:szCs w:val="50"/>
        </w:rPr>
        <w:t>Pro Nostalgia Points Information</w:t>
      </w:r>
    </w:p>
    <w:p w:rsidR="00972558" w:rsidRDefault="00972558" w:rsidP="00972558">
      <w:pPr>
        <w:jc w:val="center"/>
        <w:rPr>
          <w:sz w:val="50"/>
          <w:szCs w:val="50"/>
        </w:rPr>
      </w:pPr>
    </w:p>
    <w:p w:rsidR="00972558" w:rsidRDefault="00972558" w:rsidP="00972558">
      <w:pPr>
        <w:ind w:left="720"/>
        <w:rPr>
          <w:rFonts w:ascii="Verdana" w:hAnsi="Verdana"/>
          <w:color w:val="000000"/>
        </w:rPr>
      </w:pPr>
      <w:r>
        <w:rPr>
          <w:rFonts w:ascii="Verdana" w:hAnsi="Verdana"/>
          <w:b/>
          <w:bCs/>
          <w:color w:val="000000"/>
          <w:sz w:val="27"/>
          <w:szCs w:val="27"/>
        </w:rPr>
        <w:t>Points</w:t>
      </w:r>
      <w:r>
        <w:rPr>
          <w:rFonts w:ascii="Verdana" w:hAnsi="Verdana"/>
          <w:color w:val="000000"/>
        </w:rPr>
        <w:br/>
        <w:t>• Pro Nostalgia drivers will earn points toward a season championship. Each car that attends a race (i.e. fills out a tech card) will receive 30 points, and will then earn 20 points per round in eliminations. Car must stage under its own power to earn 20 points. In addition, the winner will receive an extra 20 points.</w:t>
      </w:r>
    </w:p>
    <w:p w:rsidR="00972558" w:rsidRDefault="00972558" w:rsidP="00972558">
      <w:pPr>
        <w:pStyle w:val="NormalWeb"/>
        <w:ind w:left="720"/>
        <w:rPr>
          <w:rFonts w:ascii="Verdana" w:hAnsi="Verdana"/>
          <w:color w:val="000000"/>
        </w:rPr>
      </w:pPr>
      <w:r>
        <w:rPr>
          <w:rFonts w:ascii="Verdana" w:hAnsi="Verdana"/>
          <w:color w:val="000000"/>
        </w:rPr>
        <w:t>Winner - 110 points</w:t>
      </w:r>
    </w:p>
    <w:p w:rsidR="00972558" w:rsidRDefault="00972558" w:rsidP="00972558">
      <w:pPr>
        <w:pStyle w:val="NormalWeb"/>
        <w:ind w:left="720"/>
        <w:rPr>
          <w:rFonts w:ascii="Verdana" w:hAnsi="Verdana"/>
          <w:color w:val="000000"/>
        </w:rPr>
      </w:pPr>
      <w:r>
        <w:rPr>
          <w:rFonts w:ascii="Verdana" w:hAnsi="Verdana"/>
          <w:color w:val="000000"/>
        </w:rPr>
        <w:t>Runner-Up – 90 points</w:t>
      </w:r>
    </w:p>
    <w:p w:rsidR="00972558" w:rsidRDefault="00972558" w:rsidP="00972558">
      <w:pPr>
        <w:pStyle w:val="NormalWeb"/>
        <w:ind w:left="720"/>
        <w:rPr>
          <w:rFonts w:ascii="Verdana" w:hAnsi="Verdana"/>
          <w:color w:val="000000"/>
        </w:rPr>
      </w:pPr>
      <w:r>
        <w:rPr>
          <w:rFonts w:ascii="Verdana" w:hAnsi="Verdana"/>
          <w:color w:val="000000"/>
        </w:rPr>
        <w:t>Second round loss - 70 points</w:t>
      </w:r>
    </w:p>
    <w:p w:rsidR="00972558" w:rsidRDefault="00972558" w:rsidP="00972558">
      <w:pPr>
        <w:pStyle w:val="NormalWeb"/>
        <w:ind w:left="720"/>
        <w:rPr>
          <w:rFonts w:ascii="Verdana" w:hAnsi="Verdana"/>
          <w:color w:val="000000"/>
        </w:rPr>
      </w:pPr>
      <w:r>
        <w:rPr>
          <w:rFonts w:ascii="Verdana" w:hAnsi="Verdana"/>
          <w:color w:val="000000"/>
        </w:rPr>
        <w:t>First round loss - 50 points</w:t>
      </w:r>
    </w:p>
    <w:p w:rsidR="00972558" w:rsidRDefault="00972558" w:rsidP="00972558">
      <w:pPr>
        <w:pStyle w:val="NormalWeb"/>
        <w:ind w:left="720"/>
        <w:rPr>
          <w:rFonts w:ascii="Verdana" w:hAnsi="Verdana"/>
          <w:color w:val="000000"/>
        </w:rPr>
      </w:pPr>
      <w:r>
        <w:rPr>
          <w:rFonts w:ascii="Verdana" w:hAnsi="Verdana"/>
          <w:color w:val="000000"/>
        </w:rPr>
        <w:t>Qualifying positions earn points as follows:</w:t>
      </w:r>
    </w:p>
    <w:p w:rsidR="00972558" w:rsidRDefault="00972558" w:rsidP="00972558">
      <w:pPr>
        <w:ind w:left="720"/>
        <w:rPr>
          <w:rFonts w:ascii="Verdana" w:hAnsi="Verdana"/>
          <w:color w:val="000000"/>
        </w:rPr>
      </w:pPr>
      <w:r>
        <w:rPr>
          <w:rFonts w:ascii="Verdana" w:hAnsi="Verdana"/>
          <w:color w:val="000000"/>
        </w:rPr>
        <w:t>1st - 8</w:t>
      </w:r>
      <w:r>
        <w:rPr>
          <w:rFonts w:ascii="Verdana" w:hAnsi="Verdana"/>
          <w:color w:val="000000"/>
        </w:rPr>
        <w:br/>
        <w:t>2nd - 7</w:t>
      </w:r>
      <w:r>
        <w:rPr>
          <w:rFonts w:ascii="Verdana" w:hAnsi="Verdana"/>
          <w:color w:val="000000"/>
        </w:rPr>
        <w:br/>
        <w:t>3rd - 6</w:t>
      </w:r>
      <w:r>
        <w:rPr>
          <w:rFonts w:ascii="Verdana" w:hAnsi="Verdana"/>
          <w:color w:val="000000"/>
        </w:rPr>
        <w:br/>
        <w:t>4th - 5</w:t>
      </w:r>
      <w:r>
        <w:rPr>
          <w:rFonts w:ascii="Verdana" w:hAnsi="Verdana"/>
          <w:color w:val="000000"/>
        </w:rPr>
        <w:br/>
        <w:t>5th &amp; 6th - 4</w:t>
      </w:r>
      <w:r>
        <w:rPr>
          <w:rFonts w:ascii="Verdana" w:hAnsi="Verdana"/>
          <w:color w:val="000000"/>
        </w:rPr>
        <w:br/>
        <w:t>7th &amp; 8th - 3</w:t>
      </w:r>
      <w:r>
        <w:rPr>
          <w:rFonts w:ascii="Verdana" w:hAnsi="Verdana"/>
          <w:color w:val="000000"/>
        </w:rPr>
        <w:br/>
        <w:t>9th through 12th - 2</w:t>
      </w:r>
      <w:r>
        <w:rPr>
          <w:rFonts w:ascii="Verdana" w:hAnsi="Verdana"/>
          <w:color w:val="000000"/>
        </w:rPr>
        <w:br/>
        <w:t>13th through 16th - 1</w:t>
      </w:r>
      <w:r>
        <w:rPr>
          <w:rFonts w:ascii="Verdana" w:hAnsi="Verdana"/>
          <w:color w:val="000000"/>
        </w:rPr>
        <w:br/>
        <w:t>•In the case of rain out, all drivers turning in a tech card will receive 30 points.</w:t>
      </w:r>
    </w:p>
    <w:p w:rsidR="00972558" w:rsidRDefault="00972558" w:rsidP="00972558">
      <w:pPr>
        <w:pStyle w:val="NormalWeb"/>
        <w:ind w:left="720"/>
        <w:rPr>
          <w:rFonts w:ascii="Verdana" w:hAnsi="Verdana"/>
          <w:color w:val="000000"/>
        </w:rPr>
      </w:pPr>
      <w:r>
        <w:rPr>
          <w:rFonts w:ascii="Verdana" w:hAnsi="Verdana"/>
          <w:color w:val="000000"/>
        </w:rPr>
        <w:t>•Qualifying points will be awarded if at least 2 full rounds of qualifying are completed.</w:t>
      </w:r>
    </w:p>
    <w:p w:rsidR="00972558" w:rsidRDefault="00972558" w:rsidP="00972558">
      <w:pPr>
        <w:pStyle w:val="NormalWeb"/>
        <w:ind w:left="720"/>
        <w:rPr>
          <w:rFonts w:ascii="Verdana" w:hAnsi="Verdana"/>
          <w:color w:val="000000"/>
        </w:rPr>
      </w:pPr>
      <w:r>
        <w:rPr>
          <w:rFonts w:ascii="Verdana" w:hAnsi="Verdana"/>
          <w:color w:val="000000"/>
        </w:rPr>
        <w:t>•If you normally run in Pro Nostalgia A, but qualify at a race in B, you don't get points. A B Field car can get points in A or B, but is running for Pro Nostalgia B points.</w:t>
      </w:r>
    </w:p>
    <w:p w:rsidR="00972558" w:rsidRDefault="00972558" w:rsidP="00972558">
      <w:pPr>
        <w:pStyle w:val="NormalWeb"/>
        <w:ind w:left="720"/>
        <w:rPr>
          <w:rFonts w:ascii="Verdana" w:hAnsi="Verdana"/>
          <w:color w:val="000000"/>
        </w:rPr>
      </w:pPr>
      <w:r>
        <w:rPr>
          <w:rFonts w:ascii="Verdana" w:hAnsi="Verdana"/>
          <w:color w:val="000000"/>
        </w:rPr>
        <w:t>•Worst race is thrown out for points. All Pro Nostalgia races count for points.</w:t>
      </w:r>
    </w:p>
    <w:p w:rsidR="00972558" w:rsidRDefault="00972558" w:rsidP="00972558">
      <w:pPr>
        <w:pStyle w:val="NormalWeb"/>
        <w:ind w:left="720"/>
        <w:rPr>
          <w:rFonts w:ascii="Verdana" w:hAnsi="Verdana"/>
          <w:b/>
          <w:bCs/>
          <w:color w:val="000000"/>
          <w:sz w:val="27"/>
          <w:szCs w:val="27"/>
        </w:rPr>
      </w:pPr>
    </w:p>
    <w:p w:rsidR="00972558" w:rsidRDefault="00972558" w:rsidP="00972558">
      <w:pPr>
        <w:pStyle w:val="NormalWeb"/>
        <w:ind w:left="720"/>
        <w:rPr>
          <w:rFonts w:ascii="Verdana" w:hAnsi="Verdana"/>
          <w:b/>
          <w:bCs/>
          <w:color w:val="000000"/>
          <w:sz w:val="27"/>
          <w:szCs w:val="27"/>
        </w:rPr>
      </w:pPr>
    </w:p>
    <w:p w:rsidR="00972558" w:rsidRDefault="00972558" w:rsidP="00972558">
      <w:pPr>
        <w:pStyle w:val="NormalWeb"/>
        <w:ind w:left="720"/>
        <w:rPr>
          <w:rFonts w:ascii="Verdana" w:hAnsi="Verdana"/>
          <w:b/>
          <w:bCs/>
          <w:color w:val="000000"/>
          <w:sz w:val="27"/>
          <w:szCs w:val="27"/>
        </w:rPr>
      </w:pPr>
    </w:p>
    <w:p w:rsidR="00972558" w:rsidRDefault="00972558" w:rsidP="00972558">
      <w:pPr>
        <w:pStyle w:val="NormalWeb"/>
        <w:ind w:left="720"/>
        <w:rPr>
          <w:rFonts w:ascii="Verdana" w:hAnsi="Verdana"/>
          <w:color w:val="000000"/>
        </w:rPr>
      </w:pPr>
      <w:bookmarkStart w:id="0" w:name="_GoBack"/>
      <w:bookmarkEnd w:id="0"/>
      <w:r>
        <w:rPr>
          <w:rFonts w:ascii="Verdana" w:hAnsi="Verdana"/>
          <w:b/>
          <w:bCs/>
          <w:color w:val="000000"/>
          <w:sz w:val="27"/>
          <w:szCs w:val="27"/>
        </w:rPr>
        <w:t>Pro Nostalgia Shootout</w:t>
      </w:r>
      <w:r>
        <w:rPr>
          <w:rFonts w:ascii="Verdana" w:hAnsi="Verdana"/>
          <w:color w:val="000000"/>
        </w:rPr>
        <w:br/>
        <w:t>This event will pit the top 8 qualifying performers of the season plus two alternates in a special invitation-only event at the Fall Classic at Woodburn Dragstrip in September. The points for this event will be kept separate from the season points, and will be based solely on qualifying performance.</w:t>
      </w:r>
    </w:p>
    <w:p w:rsidR="00972558" w:rsidRDefault="00972558" w:rsidP="00972558">
      <w:pPr>
        <w:pStyle w:val="NormalWeb"/>
        <w:ind w:left="720"/>
        <w:rPr>
          <w:rFonts w:ascii="Verdana" w:hAnsi="Verdana"/>
          <w:color w:val="000000"/>
        </w:rPr>
      </w:pPr>
      <w:r>
        <w:rPr>
          <w:rFonts w:ascii="Verdana" w:hAnsi="Verdana"/>
          <w:color w:val="000000"/>
        </w:rPr>
        <w:t>Points for the shootout will be earned as follows:</w:t>
      </w:r>
    </w:p>
    <w:tbl>
      <w:tblPr>
        <w:tblW w:w="0" w:type="auto"/>
        <w:tblCellSpacing w:w="30" w:type="dxa"/>
        <w:tblInd w:w="720" w:type="dxa"/>
        <w:tblCellMar>
          <w:top w:w="60" w:type="dxa"/>
          <w:left w:w="60" w:type="dxa"/>
          <w:bottom w:w="60" w:type="dxa"/>
          <w:right w:w="60" w:type="dxa"/>
        </w:tblCellMar>
        <w:tblLook w:val="04A0" w:firstRow="1" w:lastRow="0" w:firstColumn="1" w:lastColumn="0" w:noHBand="0" w:noVBand="1"/>
      </w:tblPr>
      <w:tblGrid>
        <w:gridCol w:w="1661"/>
        <w:gridCol w:w="1120"/>
      </w:tblGrid>
      <w:tr w:rsidR="00972558" w:rsidTr="00323150">
        <w:trPr>
          <w:tblCellSpacing w:w="30" w:type="dxa"/>
        </w:trPr>
        <w:tc>
          <w:tcPr>
            <w:tcW w:w="0" w:type="auto"/>
            <w:vAlign w:val="center"/>
            <w:hideMark/>
          </w:tcPr>
          <w:p w:rsidR="00972558" w:rsidRDefault="00972558" w:rsidP="00323150">
            <w:pPr>
              <w:rPr>
                <w:rFonts w:ascii="Times New Roman" w:hAnsi="Times New Roman"/>
              </w:rPr>
            </w:pPr>
            <w:r>
              <w:t>#1 - 175 points</w:t>
            </w:r>
          </w:p>
        </w:tc>
        <w:tc>
          <w:tcPr>
            <w:tcW w:w="0" w:type="auto"/>
            <w:vAlign w:val="center"/>
            <w:hideMark/>
          </w:tcPr>
          <w:p w:rsidR="00972558" w:rsidRDefault="00972558" w:rsidP="00323150">
            <w:r>
              <w:t>#9 - 120</w:t>
            </w:r>
          </w:p>
        </w:tc>
      </w:tr>
      <w:tr w:rsidR="00972558" w:rsidTr="00323150">
        <w:trPr>
          <w:tblCellSpacing w:w="30" w:type="dxa"/>
        </w:trPr>
        <w:tc>
          <w:tcPr>
            <w:tcW w:w="0" w:type="auto"/>
            <w:vAlign w:val="center"/>
            <w:hideMark/>
          </w:tcPr>
          <w:p w:rsidR="00972558" w:rsidRDefault="00972558" w:rsidP="00323150">
            <w:r>
              <w:t>#2 - 165</w:t>
            </w:r>
          </w:p>
        </w:tc>
        <w:tc>
          <w:tcPr>
            <w:tcW w:w="0" w:type="auto"/>
            <w:vAlign w:val="center"/>
            <w:hideMark/>
          </w:tcPr>
          <w:p w:rsidR="00972558" w:rsidRDefault="00972558" w:rsidP="00323150">
            <w:r>
              <w:t>#10 - 115</w:t>
            </w:r>
          </w:p>
        </w:tc>
      </w:tr>
      <w:tr w:rsidR="00972558" w:rsidTr="00323150">
        <w:trPr>
          <w:tblCellSpacing w:w="30" w:type="dxa"/>
        </w:trPr>
        <w:tc>
          <w:tcPr>
            <w:tcW w:w="0" w:type="auto"/>
            <w:vAlign w:val="center"/>
            <w:hideMark/>
          </w:tcPr>
          <w:p w:rsidR="00972558" w:rsidRDefault="00972558" w:rsidP="00323150">
            <w:r>
              <w:t>#3 - 155</w:t>
            </w:r>
          </w:p>
        </w:tc>
        <w:tc>
          <w:tcPr>
            <w:tcW w:w="0" w:type="auto"/>
            <w:vAlign w:val="center"/>
            <w:hideMark/>
          </w:tcPr>
          <w:p w:rsidR="00972558" w:rsidRDefault="00972558" w:rsidP="00323150">
            <w:r>
              <w:t>#11 - 110</w:t>
            </w:r>
          </w:p>
        </w:tc>
      </w:tr>
      <w:tr w:rsidR="00972558" w:rsidTr="00323150">
        <w:trPr>
          <w:tblCellSpacing w:w="30" w:type="dxa"/>
        </w:trPr>
        <w:tc>
          <w:tcPr>
            <w:tcW w:w="0" w:type="auto"/>
            <w:vAlign w:val="center"/>
            <w:hideMark/>
          </w:tcPr>
          <w:p w:rsidR="00972558" w:rsidRDefault="00972558" w:rsidP="00323150">
            <w:r>
              <w:t>#4 - 145</w:t>
            </w:r>
          </w:p>
        </w:tc>
        <w:tc>
          <w:tcPr>
            <w:tcW w:w="0" w:type="auto"/>
            <w:vAlign w:val="center"/>
            <w:hideMark/>
          </w:tcPr>
          <w:p w:rsidR="00972558" w:rsidRDefault="00972558" w:rsidP="00323150">
            <w:r>
              <w:t>#12 - 105</w:t>
            </w:r>
          </w:p>
        </w:tc>
      </w:tr>
      <w:tr w:rsidR="00972558" w:rsidTr="00323150">
        <w:trPr>
          <w:tblCellSpacing w:w="30" w:type="dxa"/>
        </w:trPr>
        <w:tc>
          <w:tcPr>
            <w:tcW w:w="0" w:type="auto"/>
            <w:vAlign w:val="center"/>
            <w:hideMark/>
          </w:tcPr>
          <w:p w:rsidR="00972558" w:rsidRDefault="00972558" w:rsidP="00323150">
            <w:r>
              <w:t>#5 - 140</w:t>
            </w:r>
          </w:p>
        </w:tc>
        <w:tc>
          <w:tcPr>
            <w:tcW w:w="0" w:type="auto"/>
            <w:vAlign w:val="center"/>
            <w:hideMark/>
          </w:tcPr>
          <w:p w:rsidR="00972558" w:rsidRDefault="00972558" w:rsidP="00323150">
            <w:r>
              <w:t>#13 - 100</w:t>
            </w:r>
          </w:p>
        </w:tc>
      </w:tr>
      <w:tr w:rsidR="00972558" w:rsidTr="00323150">
        <w:trPr>
          <w:tblCellSpacing w:w="30" w:type="dxa"/>
        </w:trPr>
        <w:tc>
          <w:tcPr>
            <w:tcW w:w="0" w:type="auto"/>
            <w:vAlign w:val="center"/>
            <w:hideMark/>
          </w:tcPr>
          <w:p w:rsidR="00972558" w:rsidRDefault="00972558" w:rsidP="00323150">
            <w:r>
              <w:t>#6 - 135</w:t>
            </w:r>
          </w:p>
        </w:tc>
        <w:tc>
          <w:tcPr>
            <w:tcW w:w="0" w:type="auto"/>
            <w:vAlign w:val="center"/>
            <w:hideMark/>
          </w:tcPr>
          <w:p w:rsidR="00972558" w:rsidRDefault="00972558" w:rsidP="00323150">
            <w:r>
              <w:t>#14 - 95</w:t>
            </w:r>
          </w:p>
        </w:tc>
      </w:tr>
      <w:tr w:rsidR="00972558" w:rsidTr="00323150">
        <w:trPr>
          <w:tblCellSpacing w:w="30" w:type="dxa"/>
        </w:trPr>
        <w:tc>
          <w:tcPr>
            <w:tcW w:w="0" w:type="auto"/>
            <w:vAlign w:val="center"/>
            <w:hideMark/>
          </w:tcPr>
          <w:p w:rsidR="00972558" w:rsidRDefault="00972558" w:rsidP="00323150">
            <w:r>
              <w:t>#7 - 130</w:t>
            </w:r>
          </w:p>
        </w:tc>
        <w:tc>
          <w:tcPr>
            <w:tcW w:w="0" w:type="auto"/>
            <w:vAlign w:val="center"/>
            <w:hideMark/>
          </w:tcPr>
          <w:p w:rsidR="00972558" w:rsidRDefault="00972558" w:rsidP="00323150">
            <w:r>
              <w:t>#15 - 90</w:t>
            </w:r>
          </w:p>
        </w:tc>
      </w:tr>
      <w:tr w:rsidR="00972558" w:rsidTr="00323150">
        <w:trPr>
          <w:tblCellSpacing w:w="30" w:type="dxa"/>
        </w:trPr>
        <w:tc>
          <w:tcPr>
            <w:tcW w:w="0" w:type="auto"/>
            <w:vAlign w:val="center"/>
            <w:hideMark/>
          </w:tcPr>
          <w:p w:rsidR="00972558" w:rsidRDefault="00972558" w:rsidP="00323150">
            <w:r>
              <w:t>#8 - 125</w:t>
            </w:r>
          </w:p>
        </w:tc>
        <w:tc>
          <w:tcPr>
            <w:tcW w:w="0" w:type="auto"/>
            <w:vAlign w:val="center"/>
            <w:hideMark/>
          </w:tcPr>
          <w:p w:rsidR="00972558" w:rsidRDefault="00972558" w:rsidP="00323150">
            <w:r>
              <w:t>#16 - 85</w:t>
            </w:r>
          </w:p>
        </w:tc>
      </w:tr>
    </w:tbl>
    <w:p w:rsidR="00972558" w:rsidRDefault="00972558" w:rsidP="00972558">
      <w:pPr>
        <w:ind w:left="720"/>
        <w:rPr>
          <w:rFonts w:ascii="Verdana" w:hAnsi="Verdana"/>
          <w:color w:val="000000"/>
        </w:rPr>
      </w:pPr>
      <w:r>
        <w:rPr>
          <w:rFonts w:ascii="Verdana" w:hAnsi="Verdana"/>
          <w:color w:val="000000"/>
        </w:rPr>
        <w:t>At the Shootout, the invited drivers will receive free entry for car and driver and four crew.</w:t>
      </w:r>
    </w:p>
    <w:p w:rsidR="00972558" w:rsidRPr="00972558" w:rsidRDefault="00972558" w:rsidP="00972558">
      <w:pPr>
        <w:rPr>
          <w:sz w:val="36"/>
          <w:szCs w:val="36"/>
        </w:rPr>
      </w:pPr>
    </w:p>
    <w:sectPr w:rsidR="00972558" w:rsidRPr="00972558" w:rsidSect="00E54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58"/>
    <w:rsid w:val="003A7192"/>
    <w:rsid w:val="00972558"/>
    <w:rsid w:val="00E54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91894"/>
  <w14:defaultImageDpi w14:val="32767"/>
  <w15:chartTrackingRefBased/>
  <w15:docId w15:val="{5BFC7C1D-ED84-4D4B-BE82-E79C808A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5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Kacee Pitts</dc:creator>
  <cp:keywords/>
  <dc:description/>
  <cp:lastModifiedBy>Kacee Pitts</cp:lastModifiedBy>
  <cp:revision>1</cp:revision>
  <dcterms:created xsi:type="dcterms:W3CDTF">2020-04-17T05:48:00Z</dcterms:created>
  <dcterms:modified xsi:type="dcterms:W3CDTF">2020-04-17T05:49:00Z</dcterms:modified>
</cp:coreProperties>
</file>